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76DF"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附件2</w:t>
      </w:r>
    </w:p>
    <w:p w14:paraId="3CB20A6D">
      <w:pPr>
        <w:pStyle w:val="2"/>
        <w:bidi w:val="0"/>
        <w:jc w:val="center"/>
      </w:pPr>
      <w:r>
        <w:t>厦门大学出版社人文社会科学类书稿技术规范</w:t>
      </w:r>
    </w:p>
    <w:bookmarkEnd w:id="0"/>
    <w:p w14:paraId="61D59E7D">
      <w:pPr>
        <w:keepNext/>
        <w:keepLines/>
        <w:spacing w:line="576" w:lineRule="auto"/>
        <w:jc w:val="center"/>
        <w:outlineLvl w:val="0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（作为</w:t>
      </w:r>
      <w:r>
        <w:rPr>
          <w:rFonts w:hint="eastAsia"/>
          <w:b w:val="0"/>
          <w:bCs w:val="0"/>
          <w:lang w:val="en-US" w:eastAsia="zh-CN"/>
        </w:rPr>
        <w:t>来稿</w:t>
      </w:r>
      <w:r>
        <w:rPr>
          <w:rFonts w:hint="eastAsia"/>
          <w:b w:val="0"/>
          <w:bCs w:val="0"/>
        </w:rPr>
        <w:t>格式规范中未尽事宜之参考）</w:t>
      </w:r>
    </w:p>
    <w:p w14:paraId="698F09D5">
      <w:pPr>
        <w:bidi w:val="0"/>
        <w:rPr>
          <w:rFonts w:hint="eastAsia"/>
        </w:rPr>
      </w:pPr>
    </w:p>
    <w:p w14:paraId="1546C1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一、作者投寄本社的书稿，应做到齐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正文、注释、目录、图片等均完整无缺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、清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文字、格式、标注清楚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、定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系作者最后定稿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。所有引文，务请逐条认真核对。</w:t>
      </w:r>
    </w:p>
    <w:p w14:paraId="566803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二、除特殊需要外，一律使用国家语言文字工作委员会</w:t>
      </w:r>
      <w:r>
        <w:rPr>
          <w:rFonts w:ascii="Times New Roman" w:hAnsi="Times New Roman" w:eastAsia="宋体" w:cs="Times New Roman"/>
          <w:sz w:val="24"/>
        </w:rPr>
        <w:t>1986</w:t>
      </w:r>
      <w:r>
        <w:rPr>
          <w:rFonts w:ascii="宋体" w:hAnsi="宋体" w:eastAsia="宋体" w:cs="Courier New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>10</w:t>
      </w:r>
      <w:r>
        <w:rPr>
          <w:rFonts w:ascii="宋体" w:hAnsi="宋体" w:eastAsia="宋体" w:cs="Courier New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10</w:t>
      </w:r>
      <w:r>
        <w:rPr>
          <w:rFonts w:ascii="宋体" w:hAnsi="宋体" w:eastAsia="宋体" w:cs="Courier New"/>
          <w:sz w:val="24"/>
        </w:rPr>
        <w:t>日重新公布的简化汉字，不得使用繁体字、异体字或已废止的简体字。</w:t>
      </w:r>
    </w:p>
    <w:p w14:paraId="6F6217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三、文中分层或大小目的数字顺序应统一。建议采用以下顺序：</w:t>
      </w:r>
    </w:p>
    <w:p w14:paraId="213636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1.</w:t>
      </w:r>
      <w:r>
        <w:rPr>
          <w:rFonts w:ascii="宋体" w:hAnsi="宋体" w:eastAsia="宋体" w:cs="Courier New"/>
          <w:sz w:val="24"/>
        </w:rPr>
        <w:t>第一级用汉字数字，不加括号，加顿号，只作为标题用，后不得跟正文。如：</w:t>
      </w:r>
    </w:p>
    <w:p w14:paraId="37D11D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一、□□□□</w:t>
      </w:r>
    </w:p>
    <w:p w14:paraId="6C61BD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二、□□□□</w:t>
      </w:r>
    </w:p>
    <w:p w14:paraId="7C9E84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第二级用汉字数字，加括号，只作为标题用，后不得跟正文。如：</w:t>
      </w:r>
    </w:p>
    <w:p w14:paraId="68444D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(一)□□□□</w:t>
      </w:r>
    </w:p>
    <w:p w14:paraId="1F661D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(二)□□□□</w:t>
      </w:r>
    </w:p>
    <w:p w14:paraId="2B84B8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第三级用阿拉伯数字，加下圆点，不加括号，如：</w:t>
      </w:r>
    </w:p>
    <w:p w14:paraId="1DB6D7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1.□□□□</w:t>
      </w:r>
    </w:p>
    <w:p w14:paraId="0A7CEC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2.□□□□</w:t>
      </w:r>
    </w:p>
    <w:p w14:paraId="758BBB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第四级用阿拉伯数字，加括号，如：</w:t>
      </w:r>
    </w:p>
    <w:p w14:paraId="0CB2AA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(1)□□□□</w:t>
      </w:r>
    </w:p>
    <w:p w14:paraId="3D3891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(2)□□□□</w:t>
      </w:r>
    </w:p>
    <w:p w14:paraId="3E361B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前三级可作为标题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即大小目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，单独成行。第四级是否作为标题，全书应尽量统一。</w:t>
      </w:r>
    </w:p>
    <w:p w14:paraId="3CCEDE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ascii="宋体" w:hAnsi="宋体" w:eastAsia="宋体" w:cs="Courier New"/>
          <w:sz w:val="24"/>
        </w:rPr>
        <w:t>正文中的一个自然段中，如有分项，只能用“（</w:t>
      </w:r>
      <w:r>
        <w:rPr>
          <w:rFonts w:ascii="Times New Roman" w:hAnsi="Times New Roman" w:eastAsia="宋体" w:cs="Times New Roman"/>
          <w:sz w:val="24"/>
        </w:rPr>
        <w:t>1</w:t>
      </w:r>
      <w:r>
        <w:rPr>
          <w:rFonts w:ascii="宋体" w:hAnsi="宋体" w:eastAsia="宋体" w:cs="Courier New"/>
          <w:sz w:val="24"/>
        </w:rPr>
        <w:t>）、（</w:t>
      </w:r>
      <w:r>
        <w:rPr>
          <w:rFonts w:ascii="Times New Roman" w:hAnsi="Times New Roman" w:eastAsia="宋体" w:cs="Times New Roman"/>
          <w:sz w:val="24"/>
        </w:rPr>
        <w:t>2</w:t>
      </w:r>
      <w:r>
        <w:rPr>
          <w:rFonts w:ascii="宋体" w:hAnsi="宋体" w:eastAsia="宋体" w:cs="Courier New"/>
          <w:sz w:val="24"/>
        </w:rPr>
        <w:t>）……”作为分项序号，直接引文列入。</w:t>
      </w:r>
    </w:p>
    <w:p w14:paraId="672D89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Times New Roman" w:hAnsi="Times New Roman" w:eastAsia="宋体" w:cs="Times New Roman"/>
          <w:sz w:val="24"/>
        </w:rPr>
        <w:t>3.</w:t>
      </w:r>
      <w:r>
        <w:rPr>
          <w:rFonts w:ascii="宋体" w:hAnsi="宋体" w:eastAsia="宋体" w:cs="Courier New"/>
          <w:sz w:val="24"/>
        </w:rPr>
        <w:t>如用汉字表述分层时，有下列几种：</w:t>
      </w:r>
      <w:r>
        <w:rPr>
          <w:rFonts w:ascii="楷体" w:hAnsi="楷体" w:eastAsia="楷体" w:cs="Courier New"/>
          <w:color w:val="0000FF"/>
          <w:sz w:val="24"/>
        </w:rPr>
        <w:t>“首先，其次，再次，复次，最后”，“第一，第二，第三……”，“其一，其二，其三……”，“一是，二是，三是……”</w:t>
      </w:r>
    </w:p>
    <w:p w14:paraId="58F6A1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四、标点符号用法，一律采用</w:t>
      </w:r>
      <w:r>
        <w:rPr>
          <w:rFonts w:ascii="Times New Roman" w:hAnsi="Times New Roman" w:eastAsia="宋体" w:cs="Times New Roman"/>
          <w:sz w:val="24"/>
        </w:rPr>
        <w:t>2011</w:t>
      </w:r>
      <w:r>
        <w:rPr>
          <w:rFonts w:ascii="宋体" w:hAnsi="宋体" w:eastAsia="宋体" w:cs="Courier New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>12</w:t>
      </w:r>
      <w:r>
        <w:rPr>
          <w:rFonts w:ascii="宋体" w:hAnsi="宋体" w:eastAsia="宋体" w:cs="Courier New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>30</w:t>
      </w:r>
      <w:r>
        <w:rPr>
          <w:rFonts w:ascii="宋体" w:hAnsi="宋体" w:eastAsia="宋体" w:cs="Courier New"/>
          <w:sz w:val="24"/>
        </w:rPr>
        <w:t>日发布的国家标准《标点符号用法》（</w:t>
      </w:r>
      <w:r>
        <w:rPr>
          <w:rFonts w:ascii="Times New Roman" w:hAnsi="Times New Roman" w:eastAsia="宋体" w:cs="Times New Roman"/>
          <w:sz w:val="24"/>
        </w:rPr>
        <w:t>GB/T 15834-2011</w:t>
      </w:r>
      <w:r>
        <w:rPr>
          <w:rFonts w:ascii="宋体" w:hAnsi="宋体" w:eastAsia="宋体" w:cs="Courier New"/>
          <w:sz w:val="24"/>
        </w:rPr>
        <w:t>）。尤应注意以下几点：</w:t>
      </w:r>
    </w:p>
    <w:p w14:paraId="089BE2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Courier New"/>
          <w:sz w:val="24"/>
        </w:rPr>
        <w:t xml:space="preserve">    </w:t>
      </w:r>
      <w:r>
        <w:rPr>
          <w:rFonts w:ascii="Times New Roman" w:hAnsi="Times New Roman" w:eastAsia="宋体" w:cs="Times New Roman"/>
          <w:sz w:val="24"/>
        </w:rPr>
        <w:t xml:space="preserve">1. </w:t>
      </w:r>
      <w:r>
        <w:rPr>
          <w:rFonts w:ascii="宋体" w:hAnsi="宋体" w:eastAsia="宋体" w:cs="Courier New"/>
          <w:sz w:val="24"/>
        </w:rPr>
        <w:t>连接号、间隔号占一个字位置。破折号、省略号占两个字的位置。</w:t>
      </w:r>
    </w:p>
    <w:p w14:paraId="5F515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ascii="Times New Roman" w:hAnsi="Times New Roman" w:eastAsia="宋体" w:cs="Courier New"/>
          <w:sz w:val="24"/>
        </w:rPr>
        <w:t xml:space="preserve"> </w:t>
      </w:r>
      <w:r>
        <w:rPr>
          <w:rFonts w:ascii="宋体" w:hAnsi="宋体" w:eastAsia="宋体" w:cs="Courier New"/>
          <w:sz w:val="24"/>
        </w:rPr>
        <w:t>引号、括号、书名号的前一半不出现在行末，后一半不出现在行首。</w:t>
      </w:r>
    </w:p>
    <w:p w14:paraId="4ECAAF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Times New Roman" w:hAnsi="Times New Roman" w:eastAsia="宋体" w:cs="Times New Roman"/>
          <w:sz w:val="24"/>
        </w:rPr>
        <w:t>3.</w:t>
      </w:r>
      <w:r>
        <w:rPr>
          <w:rFonts w:ascii="Times New Roman" w:hAnsi="Times New Roman" w:eastAsia="宋体" w:cs="Courier New"/>
          <w:sz w:val="24"/>
        </w:rPr>
        <w:t xml:space="preserve"> </w:t>
      </w:r>
      <w:r>
        <w:rPr>
          <w:rFonts w:ascii="宋体" w:hAnsi="宋体" w:eastAsia="宋体" w:cs="Courier New"/>
          <w:sz w:val="24"/>
        </w:rPr>
        <w:t>表示数值的范围，使用波浪式连接号“～”。如：</w:t>
      </w:r>
      <w:r>
        <w:rPr>
          <w:rFonts w:ascii="楷体" w:hAnsi="楷体" w:eastAsia="楷体" w:cs="Courier New"/>
          <w:color w:val="0000FF"/>
          <w:sz w:val="24"/>
        </w:rPr>
        <w:t>150～200千米，2000～3000克，7个月～9个月。</w:t>
      </w:r>
    </w:p>
    <w:p w14:paraId="50C59C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4.</w:t>
      </w:r>
      <w:r>
        <w:rPr>
          <w:rFonts w:ascii="Times New Roman" w:hAnsi="Times New Roman" w:eastAsia="宋体" w:cs="Courier New"/>
          <w:sz w:val="24"/>
        </w:rPr>
        <w:t xml:space="preserve"> </w:t>
      </w:r>
      <w:r>
        <w:rPr>
          <w:rFonts w:ascii="宋体" w:hAnsi="宋体" w:eastAsia="宋体" w:cs="Courier New"/>
          <w:sz w:val="24"/>
        </w:rPr>
        <w:t>引号与句号配合使用时，凡是独立引用他人的话，句号应放在引号之内。凡是把引用的话作为作者自己的话的一部分，句号则放在引号之外。如：</w:t>
      </w:r>
    </w:p>
    <w:p w14:paraId="480D65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爱因斯坦说：“想象力比知识更重要，因为知识是有限的，而想象力概括着世界上的一切，推动着进步，并且是知识进化的源泉。”</w:t>
      </w:r>
    </w:p>
    <w:p w14:paraId="450BCE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现代画家徐悲鸿笔下的马，正如有的评论家所说的那样，“形神兼备，充满生机”。</w:t>
      </w:r>
    </w:p>
    <w:p w14:paraId="70EC8E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五、数字的用法，一律采用国家技术监督局</w:t>
      </w:r>
      <w:r>
        <w:rPr>
          <w:rFonts w:ascii="Times New Roman" w:hAnsi="Times New Roman" w:eastAsia="宋体" w:cs="Times New Roman"/>
          <w:sz w:val="24"/>
        </w:rPr>
        <w:t>2011</w:t>
      </w:r>
      <w:r>
        <w:rPr>
          <w:rFonts w:ascii="宋体" w:hAnsi="宋体" w:eastAsia="宋体" w:cs="Courier New"/>
          <w:sz w:val="24"/>
        </w:rPr>
        <w:t>年公布的《出版物上数字用法》，尤应注意以下几点：</w:t>
      </w:r>
    </w:p>
    <w:p w14:paraId="3E3141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Times New Roman" w:hAnsi="Times New Roman" w:eastAsia="宋体" w:cs="Times New Roman"/>
          <w:sz w:val="24"/>
        </w:rPr>
        <w:t>1.</w:t>
      </w:r>
      <w:r>
        <w:rPr>
          <w:rFonts w:ascii="宋体" w:hAnsi="宋体" w:eastAsia="宋体" w:cs="Courier New"/>
          <w:sz w:val="24"/>
        </w:rPr>
        <w:t>公历世纪、年代、年、月、日，一律使用阿拉伯数字。如：</w:t>
      </w:r>
      <w:r>
        <w:rPr>
          <w:rFonts w:ascii="楷体" w:hAnsi="楷体" w:eastAsia="楷体" w:cs="Courier New"/>
          <w:color w:val="0000FF"/>
          <w:sz w:val="24"/>
        </w:rPr>
        <w:t>公元440年10月18日。</w:t>
      </w:r>
    </w:p>
    <w:p w14:paraId="02BDB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ascii="宋体" w:hAnsi="宋体" w:eastAsia="宋体" w:cs="Courier New"/>
          <w:sz w:val="24"/>
        </w:rPr>
        <w:t>年份不得简略。如：</w:t>
      </w:r>
      <w:r>
        <w:rPr>
          <w:rFonts w:ascii="Times New Roman" w:hAnsi="Times New Roman" w:eastAsia="宋体" w:cs="Times New Roman"/>
          <w:sz w:val="24"/>
        </w:rPr>
        <w:t>1996</w:t>
      </w:r>
      <w:r>
        <w:rPr>
          <w:rFonts w:ascii="宋体" w:hAnsi="宋体" w:eastAsia="宋体" w:cs="Courier New"/>
          <w:sz w:val="24"/>
        </w:rPr>
        <w:t>年不得写为</w:t>
      </w:r>
      <w:r>
        <w:rPr>
          <w:rFonts w:ascii="Times New Roman" w:hAnsi="Times New Roman" w:eastAsia="宋体" w:cs="Times New Roman"/>
          <w:sz w:val="24"/>
        </w:rPr>
        <w:t>96</w:t>
      </w:r>
      <w:r>
        <w:rPr>
          <w:rFonts w:ascii="宋体" w:hAnsi="宋体" w:eastAsia="宋体" w:cs="Courier New"/>
          <w:sz w:val="24"/>
        </w:rPr>
        <w:t>年。</w:t>
      </w:r>
      <w:r>
        <w:rPr>
          <w:rFonts w:ascii="Times New Roman" w:hAnsi="Times New Roman" w:eastAsia="宋体" w:cs="Times New Roman"/>
          <w:sz w:val="24"/>
        </w:rPr>
        <w:t>1990</w:t>
      </w:r>
      <w:r>
        <w:rPr>
          <w:rFonts w:ascii="宋体" w:hAnsi="宋体" w:eastAsia="宋体" w:cs="Courier New"/>
          <w:sz w:val="24"/>
        </w:rPr>
        <w:t>年至</w:t>
      </w:r>
      <w:r>
        <w:rPr>
          <w:rFonts w:ascii="Times New Roman" w:hAnsi="Times New Roman" w:eastAsia="宋体" w:cs="Times New Roman"/>
          <w:sz w:val="24"/>
        </w:rPr>
        <w:t>1995</w:t>
      </w:r>
      <w:r>
        <w:rPr>
          <w:rFonts w:ascii="宋体" w:hAnsi="宋体" w:eastAsia="宋体" w:cs="Courier New"/>
          <w:sz w:val="24"/>
        </w:rPr>
        <w:t>年，不得写为</w:t>
      </w:r>
      <w:r>
        <w:rPr>
          <w:rFonts w:ascii="Times New Roman" w:hAnsi="Times New Roman" w:eastAsia="宋体" w:cs="Times New Roman"/>
          <w:sz w:val="24"/>
        </w:rPr>
        <w:t>1990</w:t>
      </w:r>
      <w:r>
        <w:rPr>
          <w:rFonts w:ascii="宋体" w:hAnsi="宋体" w:eastAsia="宋体" w:cs="Courier New"/>
          <w:sz w:val="24"/>
        </w:rPr>
        <w:t>年到</w:t>
      </w:r>
      <w:r>
        <w:rPr>
          <w:rFonts w:ascii="Times New Roman" w:hAnsi="Times New Roman" w:eastAsia="宋体" w:cs="Times New Roman"/>
          <w:sz w:val="24"/>
        </w:rPr>
        <w:t>95</w:t>
      </w:r>
      <w:r>
        <w:rPr>
          <w:rFonts w:ascii="宋体" w:hAnsi="宋体" w:eastAsia="宋体" w:cs="Courier New"/>
          <w:sz w:val="24"/>
        </w:rPr>
        <w:t>年。</w:t>
      </w:r>
    </w:p>
    <w:p w14:paraId="431962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3.</w:t>
      </w:r>
      <w:r>
        <w:rPr>
          <w:rFonts w:ascii="宋体" w:hAnsi="宋体" w:eastAsia="宋体" w:cs="Courier New"/>
          <w:sz w:val="24"/>
        </w:rPr>
        <w:t>中国干支纪年和夏历月日使用汉字数字。如：</w:t>
      </w:r>
      <w:r>
        <w:rPr>
          <w:rFonts w:ascii="楷体" w:hAnsi="楷体" w:eastAsia="楷体" w:cs="Courier New"/>
          <w:sz w:val="24"/>
        </w:rPr>
        <w:t>丙寅年十月十五日腊月二十五日</w:t>
      </w:r>
      <w:r>
        <w:rPr>
          <w:rFonts w:ascii="宋体" w:hAnsi="宋体" w:eastAsia="宋体" w:cs="Courier New"/>
          <w:sz w:val="24"/>
        </w:rPr>
        <w:t>。表示起讫时间用连接号。如：</w:t>
      </w:r>
      <w:r>
        <w:rPr>
          <w:rFonts w:ascii="楷体" w:hAnsi="楷体" w:eastAsia="楷体" w:cs="Courier New"/>
          <w:color w:val="0000FF"/>
          <w:sz w:val="24"/>
        </w:rPr>
        <w:t>1978—1980年，1980年7月—9月</w:t>
      </w:r>
      <w:r>
        <w:rPr>
          <w:rFonts w:ascii="宋体" w:hAnsi="宋体" w:eastAsia="宋体" w:cs="Courier New"/>
          <w:sz w:val="24"/>
        </w:rPr>
        <w:t>，不用波浪号连接。</w:t>
      </w:r>
    </w:p>
    <w:p w14:paraId="3FF61E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4.</w:t>
      </w:r>
      <w:r>
        <w:rPr>
          <w:rFonts w:ascii="宋体" w:hAnsi="宋体" w:eastAsia="宋体" w:cs="Courier New"/>
          <w:sz w:val="24"/>
        </w:rPr>
        <w:t>中国清代和清代以前的历史纪年用汉字，并用阿拉伯数字括注公历。民国纪年用阿拉伯数字，并括注公历。括注也可省略“公元”“年”等字，但要全书统一。如：</w:t>
      </w:r>
    </w:p>
    <w:p w14:paraId="5FEDDF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 xml:space="preserve">清咸丰十年九月二十日(公元1860年11月2日)     清咸丰十年(1860) </w:t>
      </w:r>
    </w:p>
    <w:p w14:paraId="4395CF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民国二十五年(公元1936年)</w:t>
      </w:r>
    </w:p>
    <w:p w14:paraId="65408B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5.</w:t>
      </w:r>
      <w:r>
        <w:rPr>
          <w:rFonts w:ascii="宋体" w:hAnsi="宋体" w:eastAsia="宋体" w:cs="Courier New"/>
          <w:sz w:val="24"/>
        </w:rPr>
        <w:t>引用文献资料，加引号的，数字用法仍旧，不加引号的，则改用阿拉伯数字。如：</w:t>
      </w:r>
    </w:p>
    <w:p w14:paraId="783F5A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隋大业八年(公元612年)征辽，“天下集兵凡一百一十三万三千八百人”。</w:t>
      </w:r>
    </w:p>
    <w:p w14:paraId="318217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楷体" w:hAnsi="楷体" w:eastAsia="楷体" w:cs="Courier New"/>
          <w:color w:val="0000FF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隋大业八年(公元612年)征辽，“天下集兵”凡1133800人。</w:t>
      </w:r>
    </w:p>
    <w:p w14:paraId="66BF59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6.</w:t>
      </w:r>
      <w:r>
        <w:rPr>
          <w:rFonts w:ascii="宋体" w:hAnsi="宋体" w:eastAsia="宋体" w:cs="Courier New"/>
          <w:sz w:val="24"/>
        </w:rPr>
        <w:t>用“多”“余”“左右”“上下”“约”等表示的约数一般用汉字。如果文中出现一组具有统计和比较意义的数字，其中既有精确数字，又有用“多”“余”等表示的约数时，为保持局部体例上的一致，其约数也可以使用阿拉伯数字。如：</w:t>
      </w:r>
    </w:p>
    <w:p w14:paraId="55D6D3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楷体" w:hAnsi="楷体" w:eastAsia="楷体" w:cs="Courier New"/>
          <w:color w:val="0000FF"/>
          <w:sz w:val="24"/>
        </w:rPr>
        <w:t>该省从机动财力中拿出1900万元，调拨钢材3000多吨、水泥2万多吨、柴油1400吨，用于农田水利建设。</w:t>
      </w:r>
      <w:r>
        <w:rPr>
          <w:rFonts w:ascii="宋体" w:hAnsi="宋体" w:eastAsia="宋体" w:cs="Courier New"/>
          <w:sz w:val="24"/>
        </w:rPr>
        <w:t xml:space="preserve">   </w:t>
      </w:r>
    </w:p>
    <w:p w14:paraId="2D7C25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六、量和单位的规范。经济类书稿应采用法定计量单位与单位符号。历史类书稿可采用法定计量单位，也可使用当时的计量单位。</w:t>
      </w:r>
    </w:p>
    <w:p w14:paraId="0EC79B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七、注释规范</w:t>
      </w:r>
    </w:p>
    <w:p w14:paraId="1AA3D7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1.</w:t>
      </w:r>
      <w:r>
        <w:rPr>
          <w:rFonts w:ascii="宋体" w:hAnsi="宋体" w:eastAsia="宋体" w:cs="Courier New"/>
          <w:sz w:val="24"/>
        </w:rPr>
        <w:t>一般采用页下注，或节后注。全书要求统一。</w:t>
      </w:r>
    </w:p>
    <w:p w14:paraId="1A970C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2.</w:t>
      </w:r>
      <w:r>
        <w:rPr>
          <w:rFonts w:ascii="宋体" w:hAnsi="宋体" w:eastAsia="宋体" w:cs="Courier New"/>
          <w:sz w:val="24"/>
        </w:rPr>
        <w:t>注释号与其他标点符号配合使用时，注释号的位置应统一。注释号视具体情况，置于标点符号前后。如：</w:t>
      </w:r>
    </w:p>
    <w:p w14:paraId="2FC48A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隋大业八年</w:t>
      </w:r>
      <w:r>
        <w:rPr>
          <w:rFonts w:ascii="Times New Roman" w:hAnsi="Times New Roman" w:eastAsia="楷体_GB2312" w:cs="Times New Roman"/>
          <w:color w:val="0000FF"/>
          <w:sz w:val="24"/>
        </w:rPr>
        <w:t>(</w:t>
      </w:r>
      <w:r>
        <w:rPr>
          <w:rFonts w:ascii="楷体_GB2312" w:hAnsi="Times New Roman" w:eastAsia="楷体_GB2312" w:cs="宋体"/>
          <w:color w:val="0000FF"/>
          <w:sz w:val="24"/>
        </w:rPr>
        <w:t>公元</w:t>
      </w:r>
      <w:r>
        <w:rPr>
          <w:rFonts w:ascii="Times New Roman" w:hAnsi="Times New Roman" w:eastAsia="楷体_GB2312" w:cs="Times New Roman"/>
          <w:color w:val="0000FF"/>
          <w:sz w:val="24"/>
        </w:rPr>
        <w:t>612</w:t>
      </w:r>
      <w:r>
        <w:rPr>
          <w:rFonts w:ascii="楷体_GB2312" w:hAnsi="Times New Roman" w:eastAsia="楷体_GB2312" w:cs="宋体"/>
          <w:color w:val="0000FF"/>
          <w:sz w:val="24"/>
        </w:rPr>
        <w:t>年</w:t>
      </w:r>
      <w:r>
        <w:rPr>
          <w:rFonts w:ascii="Times New Roman" w:hAnsi="Times New Roman" w:eastAsia="楷体_GB2312" w:cs="Times New Roman"/>
          <w:color w:val="0000FF"/>
          <w:sz w:val="24"/>
        </w:rPr>
        <w:t>)</w:t>
      </w:r>
      <w:r>
        <w:rPr>
          <w:rFonts w:ascii="楷体_GB2312" w:hAnsi="Times New Roman" w:eastAsia="楷体_GB2312" w:cs="宋体"/>
          <w:color w:val="0000FF"/>
          <w:sz w:val="24"/>
        </w:rPr>
        <w:t>征辽，“天下集兵凡一百一十三万三千八百人”</w:t>
      </w:r>
      <w:r>
        <w:rPr>
          <w:rFonts w:ascii="Cambria Math" w:hAnsi="Cambria Math" w:eastAsia="楷体_GB2312" w:cs="Cambria Math"/>
          <w:color w:val="0000FF"/>
          <w:sz w:val="24"/>
          <w:vertAlign w:val="superscript"/>
        </w:rPr>
        <w:t>①</w:t>
      </w:r>
      <w:r>
        <w:rPr>
          <w:rFonts w:ascii="楷体_GB2312" w:hAnsi="Times New Roman" w:eastAsia="楷体_GB2312" w:cs="宋体"/>
          <w:color w:val="0000FF"/>
          <w:sz w:val="24"/>
        </w:rPr>
        <w:t>。</w:t>
      </w:r>
    </w:p>
    <w:p w14:paraId="2214DA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马克思、恩格斯没有说过“凡是”，列宁、斯大林没有说过“凡是”，毛泽东同志自己也没有说过“凡是”。</w:t>
      </w:r>
      <w:r>
        <w:rPr>
          <w:rFonts w:ascii="Cambria Math" w:hAnsi="Cambria Math" w:eastAsia="楷体_GB2312" w:cs="Cambria Math"/>
          <w:color w:val="0000FF"/>
          <w:sz w:val="24"/>
          <w:vertAlign w:val="superscript"/>
        </w:rPr>
        <w:t>①</w:t>
      </w:r>
    </w:p>
    <w:p w14:paraId="15013C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3.</w:t>
      </w:r>
      <w:r>
        <w:rPr>
          <w:rFonts w:ascii="宋体" w:hAnsi="宋体" w:eastAsia="宋体" w:cs="Courier New"/>
          <w:sz w:val="24"/>
        </w:rPr>
        <w:t>引用古籍应依次标明作者书名、卷别、篇名。古籍卷本用汉字数字。常见书可略作者。如</w:t>
      </w:r>
    </w:p>
    <w:p w14:paraId="6B799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Cambria Math" w:hAnsi="Cambria Math" w:eastAsia="楷体_GB2312" w:cs="Cambria Math"/>
          <w:color w:val="0000FF"/>
          <w:sz w:val="24"/>
        </w:rPr>
        <w:t>①</w:t>
      </w:r>
      <w:r>
        <w:rPr>
          <w:rFonts w:ascii="楷体_GB2312" w:hAnsi="Times New Roman" w:eastAsia="楷体_GB2312" w:cs="宋体"/>
          <w:color w:val="0000FF"/>
          <w:sz w:val="24"/>
        </w:rPr>
        <w:t>［唐］欧阳询《艺文类聚》卷四一《乐部一·论乐》。</w:t>
      </w:r>
    </w:p>
    <w:p w14:paraId="321F28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Cambria Math" w:hAnsi="Cambria Math" w:eastAsia="楷体_GB2312" w:cs="Cambria Math"/>
          <w:color w:val="0000FF"/>
          <w:sz w:val="24"/>
        </w:rPr>
        <w:t>②</w:t>
      </w:r>
      <w:r>
        <w:rPr>
          <w:rFonts w:ascii="楷体_GB2312" w:hAnsi="Times New Roman" w:eastAsia="楷体_GB2312" w:cs="宋体"/>
          <w:color w:val="0000FF"/>
          <w:sz w:val="24"/>
        </w:rPr>
        <w:t>《隋书》卷二四《食货志》。</w:t>
      </w:r>
    </w:p>
    <w:p w14:paraId="7071BA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Cambria Math" w:hAnsi="Cambria Math" w:eastAsia="楷体_GB2312" w:cs="Cambria Math"/>
          <w:color w:val="0000FF"/>
          <w:sz w:val="24"/>
        </w:rPr>
        <w:t>③</w:t>
      </w:r>
      <w:r>
        <w:rPr>
          <w:rFonts w:ascii="楷体_GB2312" w:hAnsi="Times New Roman" w:eastAsia="楷体_GB2312" w:cs="宋体"/>
          <w:color w:val="0000FF"/>
          <w:sz w:val="24"/>
        </w:rPr>
        <w:t>《全唐诗》卷五四</w:t>
      </w:r>
      <w:r>
        <w:rPr>
          <w:rFonts w:ascii="楷体_GB2312" w:hAnsi="Times New Roman" w:eastAsia="楷体_GB2312" w:cs="New Gulim"/>
          <w:color w:val="0000FF"/>
          <w:sz w:val="24"/>
        </w:rPr>
        <w:t>○</w:t>
      </w:r>
      <w:r>
        <w:rPr>
          <w:rFonts w:ascii="楷体_GB2312" w:hAnsi="Times New Roman" w:eastAsia="楷体_GB2312" w:cs="宋体"/>
          <w:color w:val="0000FF"/>
          <w:sz w:val="24"/>
        </w:rPr>
        <w:t>，李商隐《洞庭鱼》。</w:t>
      </w:r>
    </w:p>
    <w:p w14:paraId="560605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4.</w:t>
      </w:r>
      <w:r>
        <w:rPr>
          <w:rFonts w:ascii="宋体" w:hAnsi="宋体" w:eastAsia="宋体" w:cs="Courier New"/>
          <w:sz w:val="24"/>
        </w:rPr>
        <w:t>除先秦古籍外，引用古籍，一般不采用书名加间隔号加篇名形式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如《宋史·食货志》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。正文中为行文方便，可采用书名加间隔号加篇名形式，但在注释中仍应加注卷别。</w:t>
      </w:r>
    </w:p>
    <w:p w14:paraId="3FFF89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5.</w:t>
      </w:r>
      <w:r>
        <w:rPr>
          <w:rFonts w:ascii="宋体" w:hAnsi="宋体" w:eastAsia="宋体" w:cs="Courier New"/>
          <w:sz w:val="24"/>
        </w:rPr>
        <w:t>引用近人著作应依次标明作者、书名、出版社、出版年月、页码。如：</w:t>
      </w:r>
    </w:p>
    <w:p w14:paraId="495BE3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唐长孺：《魏晋南北朝史论丛》，三联书店</w:t>
      </w:r>
      <w:r>
        <w:rPr>
          <w:rFonts w:ascii="Times New Roman" w:hAnsi="Times New Roman" w:eastAsia="楷体_GB2312" w:cs="Times New Roman"/>
          <w:color w:val="0000FF"/>
          <w:sz w:val="24"/>
        </w:rPr>
        <w:t>1955</w:t>
      </w:r>
      <w:r>
        <w:rPr>
          <w:rFonts w:ascii="楷体_GB2312" w:hAnsi="Times New Roman" w:eastAsia="楷体_GB2312" w:cs="宋体"/>
          <w:color w:val="0000FF"/>
          <w:sz w:val="24"/>
        </w:rPr>
        <w:t>年版，第</w:t>
      </w:r>
      <w:r>
        <w:rPr>
          <w:rFonts w:ascii="Times New Roman" w:hAnsi="Times New Roman" w:eastAsia="楷体_GB2312" w:cs="Times New Roman"/>
          <w:color w:val="0000FF"/>
          <w:sz w:val="24"/>
        </w:rPr>
        <w:t>158</w:t>
      </w:r>
      <w:r>
        <w:rPr>
          <w:rFonts w:ascii="楷体" w:hAnsi="楷体" w:eastAsia="楷体" w:cs="Courier New"/>
          <w:color w:val="0000FF"/>
          <w:sz w:val="24"/>
        </w:rPr>
        <w:t>～</w:t>
      </w:r>
      <w:r>
        <w:rPr>
          <w:rFonts w:ascii="Times New Roman" w:hAnsi="Times New Roman" w:eastAsia="楷体_GB2312" w:cs="Times New Roman"/>
          <w:color w:val="0000FF"/>
          <w:sz w:val="24"/>
        </w:rPr>
        <w:t>161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652AF6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6.</w:t>
      </w:r>
      <w:r>
        <w:rPr>
          <w:rFonts w:ascii="宋体" w:hAnsi="宋体" w:eastAsia="宋体" w:cs="Courier New"/>
          <w:sz w:val="24"/>
        </w:rPr>
        <w:t>引用近人论文，应依次标明作者、论文题目、报刊名称、刊期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或日期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。如：</w:t>
      </w:r>
    </w:p>
    <w:p w14:paraId="3C4DF8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Cambria Math" w:hAnsi="Cambria Math" w:eastAsia="楷体_GB2312" w:cs="Cambria Math"/>
          <w:color w:val="0000FF"/>
          <w:sz w:val="24"/>
        </w:rPr>
        <w:t>①</w:t>
      </w:r>
      <w:r>
        <w:rPr>
          <w:rFonts w:ascii="楷体_GB2312" w:hAnsi="Times New Roman" w:eastAsia="楷体_GB2312" w:cs="宋体"/>
          <w:color w:val="0000FF"/>
          <w:sz w:val="24"/>
        </w:rPr>
        <w:t>周一良：《关于崔浩国史之狱》，《中华文史论丛》</w:t>
      </w:r>
      <w:r>
        <w:rPr>
          <w:rFonts w:ascii="Times New Roman" w:hAnsi="Times New Roman" w:eastAsia="楷体_GB2312" w:cs="Times New Roman"/>
          <w:color w:val="0000FF"/>
          <w:sz w:val="24"/>
        </w:rPr>
        <w:t>1980</w:t>
      </w:r>
      <w:r>
        <w:rPr>
          <w:rFonts w:ascii="楷体_GB2312" w:hAnsi="Times New Roman" w:eastAsia="楷体_GB2312" w:cs="宋体"/>
          <w:color w:val="0000FF"/>
          <w:sz w:val="24"/>
        </w:rPr>
        <w:t>年第</w:t>
      </w:r>
      <w:r>
        <w:rPr>
          <w:rFonts w:ascii="Times New Roman" w:hAnsi="Times New Roman" w:eastAsia="楷体_GB2312" w:cs="Times New Roman"/>
          <w:color w:val="0000FF"/>
          <w:sz w:val="24"/>
        </w:rPr>
        <w:t>4</w:t>
      </w:r>
      <w:r>
        <w:rPr>
          <w:rFonts w:ascii="楷体_GB2312" w:hAnsi="Times New Roman" w:eastAsia="楷体_GB2312" w:cs="宋体"/>
          <w:color w:val="0000FF"/>
          <w:sz w:val="24"/>
        </w:rPr>
        <w:t>辑，第</w:t>
      </w:r>
      <w:r>
        <w:rPr>
          <w:rFonts w:ascii="Times New Roman" w:hAnsi="Times New Roman" w:eastAsia="楷体_GB2312" w:cs="Times New Roman"/>
          <w:color w:val="0000FF"/>
          <w:sz w:val="24"/>
        </w:rPr>
        <w:t>98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1648A2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Cambria Math" w:hAnsi="Cambria Math" w:eastAsia="楷体_GB2312" w:cs="Cambria Math"/>
          <w:color w:val="0000FF"/>
          <w:sz w:val="24"/>
        </w:rPr>
        <w:t>②</w:t>
      </w:r>
      <w:r>
        <w:rPr>
          <w:rFonts w:ascii="楷体_GB2312" w:hAnsi="Times New Roman" w:eastAsia="楷体_GB2312" w:cs="宋体"/>
          <w:color w:val="0000FF"/>
          <w:sz w:val="24"/>
        </w:rPr>
        <w:t>谢重光：《略论唐代寺院、僧尼免赋特权的逐步丧失》，载何兹全主编：《五十年来汉唐佛教寺院经济研究》，北京师范大学出版社</w:t>
      </w:r>
      <w:r>
        <w:rPr>
          <w:rFonts w:ascii="Times New Roman" w:hAnsi="Times New Roman" w:eastAsia="楷体_GB2312" w:cs="Times New Roman"/>
          <w:color w:val="0000FF"/>
          <w:sz w:val="24"/>
        </w:rPr>
        <w:t>1986</w:t>
      </w:r>
      <w:r>
        <w:rPr>
          <w:rFonts w:ascii="楷体_GB2312" w:hAnsi="Times New Roman" w:eastAsia="楷体_GB2312" w:cs="宋体"/>
          <w:color w:val="0000FF"/>
          <w:sz w:val="24"/>
        </w:rPr>
        <w:t>年版，第</w:t>
      </w:r>
      <w:r>
        <w:rPr>
          <w:rFonts w:ascii="Times New Roman" w:hAnsi="Times New Roman" w:eastAsia="楷体_GB2312" w:cs="Times New Roman"/>
          <w:color w:val="0000FF"/>
          <w:sz w:val="24"/>
        </w:rPr>
        <w:t>107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7B99F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宋体" w:hAnsi="Courier New" w:eastAsia="宋体" w:cs="Courier New"/>
          <w:sz w:val="24"/>
        </w:rPr>
      </w:pPr>
      <w:r>
        <w:rPr>
          <w:rFonts w:ascii="Times New Roman" w:hAnsi="Times New Roman" w:eastAsia="楷体_GB2312" w:cs="Times New Roman"/>
          <w:sz w:val="24"/>
        </w:rPr>
        <w:t>7</w:t>
      </w:r>
      <w:r>
        <w:rPr>
          <w:rFonts w:ascii="宋体" w:hAnsi="宋体" w:eastAsia="宋体" w:cs="Courier New"/>
          <w:sz w:val="24"/>
        </w:rPr>
        <w:t>．转引他人著作的注释方式，如：</w:t>
      </w:r>
    </w:p>
    <w:p w14:paraId="5CEC72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color w:val="0000FF"/>
          <w:sz w:val="24"/>
        </w:rPr>
      </w:pPr>
      <w:r>
        <w:rPr>
          <w:rFonts w:ascii="Times New Roman" w:hAnsi="Times New Roman" w:eastAsia="楷体_GB2312" w:cs="宋体"/>
          <w:color w:val="0000FF"/>
          <w:sz w:val="24"/>
        </w:rPr>
        <w:t>Bemhard Fischer,</w:t>
      </w:r>
      <w:r>
        <w:rPr>
          <w:rFonts w:ascii="楷体_GB2312" w:hAnsi="Times New Roman" w:eastAsia="楷体_GB2312" w:cs="宋体"/>
          <w:i/>
          <w:color w:val="0000FF"/>
          <w:sz w:val="24"/>
        </w:rPr>
        <w:t>Ｓ</w:t>
      </w:r>
      <w:r>
        <w:rPr>
          <w:rFonts w:ascii="Times New Roman" w:hAnsi="Times New Roman" w:eastAsia="楷体_GB2312" w:cs="宋体"/>
          <w:i/>
          <w:color w:val="0000FF"/>
          <w:sz w:val="24"/>
        </w:rPr>
        <w:t xml:space="preserve">tock </w:t>
      </w:r>
      <w:r>
        <w:rPr>
          <w:rFonts w:ascii="楷体_GB2312" w:hAnsi="Times New Roman" w:eastAsia="楷体_GB2312" w:cs="宋体"/>
          <w:i/>
          <w:color w:val="0000FF"/>
          <w:sz w:val="24"/>
        </w:rPr>
        <w:t>Ｍ</w:t>
      </w:r>
      <w:r>
        <w:rPr>
          <w:rFonts w:ascii="Times New Roman" w:hAnsi="Times New Roman" w:eastAsia="楷体_GB2312" w:cs="宋体"/>
          <w:i/>
          <w:color w:val="0000FF"/>
          <w:sz w:val="24"/>
        </w:rPr>
        <w:t xml:space="preserve">arket in </w:t>
      </w:r>
      <w:r>
        <w:rPr>
          <w:rFonts w:ascii="楷体_GB2312" w:hAnsi="Times New Roman" w:eastAsia="楷体_GB2312" w:cs="宋体"/>
          <w:i/>
          <w:color w:val="0000FF"/>
          <w:sz w:val="24"/>
        </w:rPr>
        <w:t>Ｄ</w:t>
      </w:r>
      <w:r>
        <w:rPr>
          <w:rFonts w:ascii="Times New Roman" w:hAnsi="Times New Roman" w:eastAsia="楷体_GB2312" w:cs="宋体"/>
          <w:i/>
          <w:color w:val="0000FF"/>
          <w:sz w:val="24"/>
        </w:rPr>
        <w:t xml:space="preserve">eveloping </w:t>
      </w:r>
      <w:r>
        <w:rPr>
          <w:rFonts w:ascii="楷体_GB2312" w:hAnsi="Times New Roman" w:eastAsia="楷体_GB2312" w:cs="宋体"/>
          <w:i/>
          <w:color w:val="0000FF"/>
          <w:sz w:val="24"/>
        </w:rPr>
        <w:t>Ｃ</w:t>
      </w:r>
      <w:r>
        <w:rPr>
          <w:rFonts w:ascii="Times New Roman" w:hAnsi="Times New Roman" w:eastAsia="楷体_GB2312" w:cs="宋体"/>
          <w:i/>
          <w:color w:val="0000FF"/>
          <w:sz w:val="24"/>
        </w:rPr>
        <w:t>ountries</w:t>
      </w:r>
      <w:r>
        <w:rPr>
          <w:rFonts w:ascii="Times New Roman" w:hAnsi="Times New Roman" w:eastAsia="楷体_GB2312" w:cs="宋体"/>
          <w:color w:val="0000FF"/>
          <w:sz w:val="24"/>
        </w:rPr>
        <w:t xml:space="preserve">, </w:t>
      </w:r>
      <w:r>
        <w:rPr>
          <w:rFonts w:ascii="楷体_GB2312" w:hAnsi="Times New Roman" w:eastAsia="楷体_GB2312" w:cs="宋体"/>
          <w:color w:val="0000FF"/>
          <w:sz w:val="24"/>
        </w:rPr>
        <w:t>转引自张军：《中国过渡经济导论》，中国立信出版社</w:t>
      </w:r>
      <w:r>
        <w:rPr>
          <w:rFonts w:ascii="Times New Roman" w:hAnsi="Times New Roman" w:eastAsia="楷体_GB2312" w:cs="宋体"/>
          <w:color w:val="0000FF"/>
          <w:sz w:val="24"/>
        </w:rPr>
        <w:t>1996</w:t>
      </w:r>
      <w:r>
        <w:rPr>
          <w:rFonts w:ascii="楷体_GB2312" w:hAnsi="Times New Roman" w:eastAsia="楷体_GB2312" w:cs="宋体"/>
          <w:color w:val="0000FF"/>
          <w:sz w:val="24"/>
        </w:rPr>
        <w:t>年版，第</w:t>
      </w:r>
      <w:r>
        <w:rPr>
          <w:rFonts w:ascii="Times New Roman" w:hAnsi="Times New Roman" w:eastAsia="楷体_GB2312" w:cs="宋体"/>
          <w:color w:val="0000FF"/>
          <w:sz w:val="24"/>
        </w:rPr>
        <w:t>36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75DF3E3F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 xml:space="preserve">引用报纸的文章，应依次表明作者、文章标题、报纸名称、出版时间等。 </w:t>
      </w:r>
    </w:p>
    <w:p w14:paraId="1063F0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特别注意加上版次。如：</w:t>
      </w:r>
    </w:p>
    <w:p w14:paraId="6510EA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贺林平：《赔钱就可“减刑”？》，载《人民法院报》</w:t>
      </w:r>
      <w:r>
        <w:rPr>
          <w:rFonts w:ascii="Times New Roman" w:hAnsi="Times New Roman" w:eastAsia="楷体_GB2312" w:cs="Times New Roman"/>
          <w:color w:val="0000FF"/>
          <w:sz w:val="24"/>
        </w:rPr>
        <w:t>2007</w:t>
      </w:r>
      <w:r>
        <w:rPr>
          <w:rFonts w:ascii="楷体_GB2312" w:hAnsi="Times New Roman" w:eastAsia="楷体_GB2312" w:cs="宋体"/>
          <w:color w:val="0000FF"/>
          <w:sz w:val="24"/>
        </w:rPr>
        <w:t>年</w:t>
      </w:r>
      <w:r>
        <w:rPr>
          <w:rFonts w:ascii="Times New Roman" w:hAnsi="Times New Roman" w:eastAsia="楷体_GB2312" w:cs="Times New Roman"/>
          <w:color w:val="0000FF"/>
          <w:sz w:val="24"/>
        </w:rPr>
        <w:t>2</w:t>
      </w:r>
      <w:r>
        <w:rPr>
          <w:rFonts w:ascii="楷体_GB2312" w:hAnsi="Times New Roman" w:eastAsia="楷体_GB2312" w:cs="宋体"/>
          <w:color w:val="0000FF"/>
          <w:sz w:val="24"/>
        </w:rPr>
        <w:t>月</w:t>
      </w:r>
      <w:r>
        <w:rPr>
          <w:rFonts w:ascii="Times New Roman" w:hAnsi="Times New Roman" w:eastAsia="楷体_GB2312" w:cs="Times New Roman"/>
          <w:color w:val="0000FF"/>
          <w:sz w:val="24"/>
        </w:rPr>
        <w:t>6</w:t>
      </w:r>
      <w:r>
        <w:rPr>
          <w:rFonts w:ascii="楷体_GB2312" w:hAnsi="Times New Roman" w:eastAsia="楷体_GB2312" w:cs="宋体"/>
          <w:color w:val="0000FF"/>
          <w:sz w:val="24"/>
        </w:rPr>
        <w:t>日第</w:t>
      </w:r>
      <w:r>
        <w:rPr>
          <w:rFonts w:ascii="Times New Roman" w:hAnsi="Times New Roman" w:eastAsia="楷体_GB2312" w:cs="Times New Roman"/>
          <w:color w:val="0000FF"/>
          <w:sz w:val="24"/>
        </w:rPr>
        <w:t>10</w:t>
      </w:r>
      <w:r>
        <w:rPr>
          <w:rFonts w:ascii="楷体_GB2312" w:hAnsi="Times New Roman" w:eastAsia="楷体_GB2312" w:cs="宋体"/>
          <w:color w:val="0000FF"/>
          <w:sz w:val="24"/>
        </w:rPr>
        <w:t>版。</w:t>
      </w:r>
    </w:p>
    <w:p w14:paraId="54F88C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9.</w:t>
      </w:r>
      <w:r>
        <w:rPr>
          <w:rFonts w:ascii="宋体" w:hAnsi="宋体" w:eastAsia="宋体" w:cs="Courier New"/>
          <w:sz w:val="24"/>
        </w:rPr>
        <w:t>引用译作，应依次标明原作者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附外文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、译者、著作名称、出版社、出版年月、页码。如：</w:t>
      </w:r>
    </w:p>
    <w:p w14:paraId="5E30C5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［日］加藤繁：《中国经济史考证》第一卷，吴杰译，商务印书馆</w:t>
      </w:r>
      <w:r>
        <w:rPr>
          <w:rFonts w:ascii="Times New Roman" w:hAnsi="Times New Roman" w:eastAsia="楷体_GB2312" w:cs="Times New Roman"/>
          <w:color w:val="0000FF"/>
          <w:sz w:val="24"/>
        </w:rPr>
        <w:t>1959</w:t>
      </w:r>
      <w:r>
        <w:rPr>
          <w:rFonts w:ascii="楷体_GB2312" w:hAnsi="Times New Roman" w:eastAsia="楷体_GB2312" w:cs="宋体"/>
          <w:color w:val="0000FF"/>
          <w:sz w:val="24"/>
        </w:rPr>
        <w:t>年版，第</w:t>
      </w:r>
      <w:r>
        <w:rPr>
          <w:rFonts w:ascii="Times New Roman" w:hAnsi="Times New Roman" w:eastAsia="楷体_GB2312" w:cs="Times New Roman"/>
          <w:color w:val="0000FF"/>
          <w:sz w:val="24"/>
        </w:rPr>
        <w:t>278</w:t>
      </w:r>
      <w:r>
        <w:rPr>
          <w:rFonts w:ascii="楷体_GB2312" w:hAnsi="Times New Roman" w:eastAsia="楷体_GB2312" w:cs="宋体"/>
          <w:color w:val="0000FF"/>
          <w:sz w:val="24"/>
        </w:rPr>
        <w:t>～</w:t>
      </w:r>
      <w:r>
        <w:rPr>
          <w:rFonts w:ascii="Times New Roman" w:hAnsi="Times New Roman" w:eastAsia="楷体_GB2312" w:cs="Times New Roman"/>
          <w:color w:val="0000FF"/>
          <w:sz w:val="24"/>
        </w:rPr>
        <w:t>304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101218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>10.</w:t>
      </w:r>
      <w:r>
        <w:rPr>
          <w:rFonts w:ascii="宋体" w:hAnsi="宋体" w:eastAsia="宋体" w:cs="Courier New"/>
          <w:sz w:val="24"/>
        </w:rPr>
        <w:t>引用经典著作应注明著作名称</w:t>
      </w:r>
      <w:r>
        <w:rPr>
          <w:rFonts w:ascii="Times New Roman" w:hAnsi="Times New Roman" w:eastAsia="宋体" w:cs="Times New Roman"/>
          <w:sz w:val="24"/>
        </w:rPr>
        <w:t>(</w:t>
      </w:r>
      <w:r>
        <w:rPr>
          <w:rFonts w:ascii="宋体" w:hAnsi="宋体" w:eastAsia="宋体" w:cs="Courier New"/>
          <w:sz w:val="24"/>
        </w:rPr>
        <w:t>全称</w:t>
      </w:r>
      <w:r>
        <w:rPr>
          <w:rFonts w:ascii="Times New Roman" w:hAnsi="Times New Roman" w:eastAsia="宋体" w:cs="Times New Roman"/>
          <w:sz w:val="24"/>
        </w:rPr>
        <w:t>)</w:t>
      </w:r>
      <w:r>
        <w:rPr>
          <w:rFonts w:ascii="宋体" w:hAnsi="宋体" w:eastAsia="宋体" w:cs="Courier New"/>
          <w:sz w:val="24"/>
        </w:rPr>
        <w:t>、出版社、出版年月、页码。如：</w:t>
      </w:r>
    </w:p>
    <w:p w14:paraId="213DDC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《马克思恩格斯选集》第四卷，人民出版社</w:t>
      </w:r>
      <w:r>
        <w:rPr>
          <w:rFonts w:ascii="Times New Roman" w:hAnsi="Times New Roman" w:eastAsia="楷体_GB2312" w:cs="Times New Roman"/>
          <w:color w:val="0000FF"/>
          <w:sz w:val="24"/>
        </w:rPr>
        <w:t>1972</w:t>
      </w:r>
      <w:r>
        <w:rPr>
          <w:rFonts w:ascii="楷体_GB2312" w:hAnsi="Times New Roman" w:eastAsia="楷体_GB2312" w:cs="宋体"/>
          <w:color w:val="0000FF"/>
          <w:sz w:val="24"/>
        </w:rPr>
        <w:t>年版，第</w:t>
      </w:r>
      <w:r>
        <w:rPr>
          <w:rFonts w:ascii="Times New Roman" w:hAnsi="Times New Roman" w:eastAsia="楷体_GB2312" w:cs="Times New Roman"/>
          <w:color w:val="0000FF"/>
          <w:sz w:val="24"/>
        </w:rPr>
        <w:t>103</w:t>
      </w:r>
      <w:r>
        <w:rPr>
          <w:rFonts w:ascii="楷体_GB2312" w:hAnsi="Times New Roman" w:eastAsia="楷体_GB2312" w:cs="宋体"/>
          <w:color w:val="0000FF"/>
          <w:sz w:val="24"/>
        </w:rPr>
        <w:t>页。</w:t>
      </w:r>
    </w:p>
    <w:p w14:paraId="5D3E8C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sz w:val="24"/>
        </w:rPr>
      </w:pPr>
      <w:r>
        <w:rPr>
          <w:rFonts w:ascii="Times New Roman" w:hAnsi="Times New Roman" w:eastAsia="宋体" w:cs="Times New Roman"/>
          <w:sz w:val="24"/>
        </w:rPr>
        <w:t>11.</w:t>
      </w:r>
      <w:r>
        <w:rPr>
          <w:rFonts w:ascii="宋体" w:hAnsi="宋体" w:eastAsia="宋体" w:cs="Courier New"/>
          <w:sz w:val="24"/>
        </w:rPr>
        <w:t>引用外文著作的，参考格式同中文著作，只需将杂志名、书名改为斜体。如</w:t>
      </w:r>
      <w:r>
        <w:rPr>
          <w:rFonts w:ascii="楷体_GB2312" w:hAnsi="Times New Roman" w:eastAsia="楷体_GB2312" w:cs="宋体"/>
          <w:sz w:val="24"/>
        </w:rPr>
        <w:t>：</w:t>
      </w:r>
    </w:p>
    <w:p w14:paraId="438FC6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Times New Roman" w:hAnsi="Times New Roman" w:eastAsia="楷体_GB2312" w:cs="Times New Roman"/>
          <w:color w:val="0000FF"/>
          <w:sz w:val="24"/>
        </w:rPr>
        <w:t xml:space="preserve">Stevenson J. R. , Oxman B. H., The preparations for the Law of the Sea Conference, </w:t>
      </w:r>
      <w:r>
        <w:rPr>
          <w:rFonts w:ascii="Times New Roman" w:hAnsi="Times New Roman" w:eastAsia="楷体_GB2312" w:cs="Times New Roman"/>
          <w:i/>
          <w:color w:val="FF0000"/>
          <w:sz w:val="24"/>
        </w:rPr>
        <w:t>American Journal of International Law</w:t>
      </w:r>
      <w:r>
        <w:rPr>
          <w:rFonts w:ascii="Times New Roman" w:hAnsi="Times New Roman" w:eastAsia="楷体_GB2312" w:cs="Times New Roman"/>
          <w:color w:val="0000FF"/>
          <w:sz w:val="24"/>
        </w:rPr>
        <w:t>, 1974, Vol.68, No.6, p.1.</w:t>
      </w:r>
    </w:p>
    <w:p w14:paraId="7DD179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Times New Roman" w:hAnsi="Times New Roman" w:eastAsia="楷体_GB2312" w:cs="Times New Roman"/>
          <w:color w:val="0000FF"/>
          <w:sz w:val="24"/>
        </w:rPr>
        <w:t>Carleton C. M., Shipman S., The Practical Realization of the Continental Shelf Limit, Continental Shelf Limits:</w:t>
      </w:r>
      <w:r>
        <w:rPr>
          <w:rFonts w:ascii="Times New Roman" w:hAnsi="Times New Roman" w:eastAsia="楷体_GB2312" w:cs="Times New Roman"/>
          <w:i/>
          <w:color w:val="FF0000"/>
          <w:sz w:val="24"/>
        </w:rPr>
        <w:t>The Scientific and Legal Interface</w:t>
      </w:r>
      <w:r>
        <w:rPr>
          <w:rFonts w:ascii="Times New Roman" w:hAnsi="Times New Roman" w:eastAsia="楷体_GB2312" w:cs="Times New Roman"/>
          <w:color w:val="FF0000"/>
          <w:sz w:val="24"/>
        </w:rPr>
        <w:t>,</w:t>
      </w:r>
      <w:r>
        <w:rPr>
          <w:rFonts w:ascii="Times New Roman" w:hAnsi="Times New Roman" w:eastAsia="楷体_GB2312" w:cs="宋体"/>
          <w:sz w:val="24"/>
        </w:rPr>
        <w:t xml:space="preserve"> </w:t>
      </w:r>
      <w:r>
        <w:rPr>
          <w:rFonts w:ascii="Times New Roman" w:hAnsi="Times New Roman" w:eastAsia="楷体_GB2312" w:cs="Times New Roman"/>
          <w:color w:val="0000FF"/>
          <w:sz w:val="24"/>
        </w:rPr>
        <w:t>Ed. P. J. Cook, Chris M. Carleton, Oxford University Press, 2000</w:t>
      </w:r>
      <w:r>
        <w:rPr>
          <w:rFonts w:ascii="楷体_GB2312" w:hAnsi="Times New Roman" w:eastAsia="楷体_GB2312" w:cs="宋体"/>
          <w:color w:val="0000FF"/>
          <w:sz w:val="24"/>
        </w:rPr>
        <w:t>，</w:t>
      </w:r>
      <w:r>
        <w:rPr>
          <w:rFonts w:ascii="Times New Roman" w:hAnsi="Times New Roman" w:eastAsia="楷体_GB2312" w:cs="Times New Roman"/>
          <w:color w:val="0000FF"/>
          <w:sz w:val="24"/>
        </w:rPr>
        <w:t>p.1.</w:t>
      </w:r>
    </w:p>
    <w:p w14:paraId="682E25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12. </w:t>
      </w:r>
      <w:r>
        <w:rPr>
          <w:rFonts w:ascii="宋体" w:hAnsi="宋体" w:eastAsia="宋体" w:cs="Courier New"/>
          <w:sz w:val="24"/>
        </w:rPr>
        <w:t>网上参考资料，需依次注明作者、文章名、网址、下载时间。如：</w:t>
      </w:r>
    </w:p>
    <w:p w14:paraId="4D6338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楷体_GB2312" w:cs="宋体"/>
          <w:color w:val="0000FF"/>
          <w:sz w:val="24"/>
        </w:rPr>
      </w:pPr>
      <w:r>
        <w:rPr>
          <w:rFonts w:ascii="楷体_GB2312" w:hAnsi="Times New Roman" w:eastAsia="楷体_GB2312" w:cs="宋体"/>
          <w:color w:val="0000FF"/>
          <w:sz w:val="24"/>
        </w:rPr>
        <w:t>王岩：《建立临时仲裁制度探析》，</w:t>
      </w:r>
      <w:r>
        <w:fldChar w:fldCharType="begin"/>
      </w:r>
      <w:r>
        <w:instrText xml:space="preserve"> HYPERLINK "http://www.chinalawedu.com/news" </w:instrText>
      </w:r>
      <w:r>
        <w:fldChar w:fldCharType="separate"/>
      </w:r>
      <w:r>
        <w:rPr>
          <w:rFonts w:ascii="Times New Roman" w:hAnsi="Times New Roman" w:eastAsia="楷体_GB2312" w:cs="Times New Roman"/>
          <w:color w:val="0000FF"/>
          <w:sz w:val="24"/>
          <w:u w:val="single"/>
        </w:rPr>
        <w:t>http://www.chinalawedu.com/news</w:t>
      </w:r>
      <w:r>
        <w:rPr>
          <w:rFonts w:ascii="Times New Roman" w:hAnsi="Times New Roman" w:eastAsia="楷体_GB2312" w:cs="Times New Roman"/>
          <w:color w:val="0000FF"/>
          <w:sz w:val="24"/>
          <w:u w:val="single"/>
        </w:rPr>
        <w:fldChar w:fldCharType="end"/>
      </w:r>
      <w:r>
        <w:rPr>
          <w:rFonts w:ascii="楷体_GB2312" w:hAnsi="Times New Roman" w:eastAsia="楷体_GB2312" w:cs="宋体"/>
          <w:color w:val="0000FF"/>
          <w:sz w:val="24"/>
        </w:rPr>
        <w:t>，下载日期：</w:t>
      </w:r>
      <w:r>
        <w:rPr>
          <w:rFonts w:ascii="Times New Roman" w:hAnsi="Times New Roman" w:eastAsia="楷体_GB2312" w:cs="Times New Roman"/>
          <w:color w:val="0000FF"/>
          <w:sz w:val="24"/>
        </w:rPr>
        <w:t>2005</w:t>
      </w:r>
      <w:r>
        <w:rPr>
          <w:rFonts w:ascii="楷体_GB2312" w:hAnsi="Times New Roman" w:eastAsia="楷体_GB2312" w:cs="宋体"/>
          <w:color w:val="0000FF"/>
          <w:sz w:val="24"/>
        </w:rPr>
        <w:t>年</w:t>
      </w:r>
      <w:r>
        <w:rPr>
          <w:rFonts w:ascii="Times New Roman" w:hAnsi="Times New Roman" w:eastAsia="楷体_GB2312" w:cs="Times New Roman"/>
          <w:color w:val="0000FF"/>
          <w:sz w:val="24"/>
        </w:rPr>
        <w:t>4</w:t>
      </w:r>
      <w:r>
        <w:rPr>
          <w:rFonts w:ascii="楷体_GB2312" w:hAnsi="Times New Roman" w:eastAsia="楷体_GB2312" w:cs="宋体"/>
          <w:color w:val="0000FF"/>
          <w:sz w:val="24"/>
        </w:rPr>
        <w:t>月</w:t>
      </w:r>
      <w:r>
        <w:rPr>
          <w:rFonts w:ascii="Times New Roman" w:hAnsi="Times New Roman" w:eastAsia="楷体_GB2312" w:cs="Times New Roman"/>
          <w:color w:val="0000FF"/>
          <w:sz w:val="24"/>
        </w:rPr>
        <w:t>19</w:t>
      </w:r>
      <w:r>
        <w:rPr>
          <w:rFonts w:ascii="楷体_GB2312" w:hAnsi="Times New Roman" w:eastAsia="楷体_GB2312" w:cs="宋体"/>
          <w:color w:val="0000FF"/>
          <w:sz w:val="24"/>
        </w:rPr>
        <w:t>日。</w:t>
      </w:r>
    </w:p>
    <w:p w14:paraId="72874B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八、图表规范</w:t>
      </w:r>
    </w:p>
    <w:p w14:paraId="4B7948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1.表格规范：表的顺序号用阿拉伯数字，如设章则按章序+表序规则排序，如表2-1；表号与表题空一个汉字位置，末尾不加标点。表题置于表格上方。表内数据用阿拉伯数字。</w:t>
      </w:r>
    </w:p>
    <w:p w14:paraId="06D48D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2.图的规范：图的顺序号用阿拉伯数字，如设章则按章序+表序规则排序，如图2-1；图号与图题空一个汉字位置，图题末不加标点。图题置于图的下方。</w:t>
      </w:r>
    </w:p>
    <w:p w14:paraId="233D67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ascii="Times New Roman" w:hAnsi="Times New Roman" w:eastAsia="宋体" w:cs="Courier New"/>
          <w:sz w:val="24"/>
        </w:rPr>
      </w:pPr>
      <w:r>
        <w:rPr>
          <w:rFonts w:ascii="宋体" w:hAnsi="宋体" w:eastAsia="宋体" w:cs="Courier New"/>
          <w:sz w:val="24"/>
        </w:rPr>
        <w:t>九、涉及法学、台湾类书稿，请注意以下事项</w:t>
      </w:r>
    </w:p>
    <w:p w14:paraId="05AE65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1．书稿中法条的条、款、项序号统一用阿拉伯数字，如</w:t>
      </w:r>
      <w:r>
        <w:rPr>
          <w:rFonts w:ascii="楷体_GB2312" w:hAnsi="Times New Roman" w:eastAsia="楷体_GB2312" w:cs="宋体"/>
          <w:color w:val="0000FF"/>
          <w:sz w:val="24"/>
        </w:rPr>
        <w:t>“《中华人民共和国民事诉讼法》第</w:t>
      </w:r>
      <w:r>
        <w:rPr>
          <w:rFonts w:ascii="Times New Roman" w:hAnsi="Times New Roman" w:eastAsia="楷体_GB2312" w:cs="Times New Roman"/>
          <w:color w:val="0000FF"/>
          <w:sz w:val="24"/>
        </w:rPr>
        <w:t>113</w:t>
      </w:r>
      <w:r>
        <w:rPr>
          <w:rFonts w:ascii="楷体_GB2312" w:hAnsi="Times New Roman" w:eastAsia="楷体_GB2312" w:cs="宋体"/>
          <w:color w:val="0000FF"/>
          <w:sz w:val="24"/>
        </w:rPr>
        <w:t>条第</w:t>
      </w:r>
      <w:r>
        <w:rPr>
          <w:rFonts w:ascii="Times New Roman" w:hAnsi="Times New Roman" w:eastAsia="楷体_GB2312" w:cs="Times New Roman"/>
          <w:color w:val="0000FF"/>
          <w:sz w:val="24"/>
        </w:rPr>
        <w:t>2</w:t>
      </w:r>
      <w:r>
        <w:rPr>
          <w:rFonts w:ascii="楷体_GB2312" w:hAnsi="Times New Roman" w:eastAsia="楷体_GB2312" w:cs="宋体"/>
          <w:color w:val="0000FF"/>
          <w:sz w:val="24"/>
        </w:rPr>
        <w:t>款第</w:t>
      </w:r>
      <w:r>
        <w:rPr>
          <w:rFonts w:ascii="Times New Roman" w:hAnsi="Times New Roman" w:eastAsia="楷体_GB2312" w:cs="Times New Roman"/>
          <w:color w:val="0000FF"/>
          <w:sz w:val="24"/>
        </w:rPr>
        <w:t>3</w:t>
      </w:r>
      <w:r>
        <w:rPr>
          <w:rFonts w:ascii="楷体_GB2312" w:hAnsi="Times New Roman" w:eastAsia="楷体_GB2312" w:cs="宋体"/>
          <w:color w:val="0000FF"/>
          <w:sz w:val="24"/>
        </w:rPr>
        <w:t>项”</w:t>
      </w:r>
      <w:r>
        <w:rPr>
          <w:rFonts w:ascii="宋体" w:hAnsi="宋体" w:eastAsia="宋体" w:cs="Times New Roman"/>
          <w:sz w:val="24"/>
        </w:rPr>
        <w:t>。直接引文除外。</w:t>
      </w:r>
    </w:p>
    <w:p w14:paraId="0E807C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法律、法规、司法解释的名称，第一次出现时用全称，如有必要可注明简称，第二次出现时使用简称。</w:t>
      </w:r>
    </w:p>
    <w:p w14:paraId="722FCA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2．涉及多条法条时，请写完整。如</w:t>
      </w:r>
      <w:r>
        <w:rPr>
          <w:rFonts w:ascii="楷体_GB2312" w:hAnsi="Times New Roman" w:eastAsia="楷体_GB2312" w:cs="宋体"/>
          <w:color w:val="0000FF"/>
          <w:sz w:val="24"/>
        </w:rPr>
        <w:t>“第</w:t>
      </w:r>
      <w:r>
        <w:rPr>
          <w:rFonts w:ascii="Times New Roman" w:hAnsi="Times New Roman" w:eastAsia="楷体_GB2312" w:cs="Times New Roman"/>
          <w:color w:val="0000FF"/>
          <w:sz w:val="24"/>
        </w:rPr>
        <w:t>8</w:t>
      </w:r>
      <w:r>
        <w:rPr>
          <w:rFonts w:ascii="楷体_GB2312" w:hAnsi="Times New Roman" w:eastAsia="楷体_GB2312" w:cs="宋体"/>
          <w:color w:val="0000FF"/>
          <w:sz w:val="24"/>
        </w:rPr>
        <w:t>条、第</w:t>
      </w:r>
      <w:r>
        <w:rPr>
          <w:rFonts w:ascii="Times New Roman" w:hAnsi="Times New Roman" w:eastAsia="楷体_GB2312" w:cs="Times New Roman"/>
          <w:color w:val="0000FF"/>
          <w:sz w:val="24"/>
        </w:rPr>
        <w:t>9</w:t>
      </w:r>
      <w:r>
        <w:rPr>
          <w:rFonts w:ascii="楷体_GB2312" w:hAnsi="Times New Roman" w:eastAsia="楷体_GB2312" w:cs="宋体"/>
          <w:color w:val="0000FF"/>
          <w:sz w:val="24"/>
        </w:rPr>
        <w:t>条、第</w:t>
      </w:r>
      <w:r>
        <w:rPr>
          <w:rFonts w:ascii="Times New Roman" w:hAnsi="Times New Roman" w:eastAsia="楷体_GB2312" w:cs="Times New Roman"/>
          <w:color w:val="0000FF"/>
          <w:sz w:val="24"/>
        </w:rPr>
        <w:t>10</w:t>
      </w:r>
      <w:r>
        <w:rPr>
          <w:rFonts w:ascii="楷体_GB2312" w:hAnsi="Times New Roman" w:eastAsia="楷体_GB2312" w:cs="宋体"/>
          <w:color w:val="0000FF"/>
          <w:sz w:val="24"/>
        </w:rPr>
        <w:t>条”</w:t>
      </w:r>
      <w:r>
        <w:rPr>
          <w:rFonts w:ascii="宋体" w:hAnsi="宋体" w:eastAsia="宋体" w:cs="Times New Roman"/>
          <w:sz w:val="24"/>
        </w:rPr>
        <w:t>，不得写作</w:t>
      </w:r>
      <w:r>
        <w:rPr>
          <w:rFonts w:ascii="楷体_GB2312" w:hAnsi="Times New Roman" w:eastAsia="楷体_GB2312" w:cs="宋体"/>
          <w:color w:val="0000FF"/>
          <w:sz w:val="24"/>
        </w:rPr>
        <w:t>“第</w:t>
      </w:r>
      <w:r>
        <w:rPr>
          <w:rFonts w:ascii="Times New Roman" w:hAnsi="Times New Roman" w:eastAsia="楷体_GB2312" w:cs="Times New Roman"/>
          <w:color w:val="0000FF"/>
          <w:sz w:val="24"/>
        </w:rPr>
        <w:t>8</w:t>
      </w:r>
      <w:r>
        <w:rPr>
          <w:rFonts w:ascii="楷体_GB2312" w:hAnsi="Times New Roman" w:eastAsia="楷体_GB2312" w:cs="宋体"/>
          <w:color w:val="0000FF"/>
          <w:sz w:val="24"/>
        </w:rPr>
        <w:t>、</w:t>
      </w:r>
      <w:r>
        <w:rPr>
          <w:rFonts w:ascii="Times New Roman" w:hAnsi="Times New Roman" w:eastAsia="楷体_GB2312" w:cs="Times New Roman"/>
          <w:color w:val="0000FF"/>
          <w:sz w:val="24"/>
        </w:rPr>
        <w:t>9</w:t>
      </w:r>
      <w:r>
        <w:rPr>
          <w:rFonts w:ascii="楷体_GB2312" w:hAnsi="Times New Roman" w:eastAsia="楷体_GB2312" w:cs="宋体"/>
          <w:color w:val="0000FF"/>
          <w:sz w:val="24"/>
        </w:rPr>
        <w:t>、</w:t>
      </w:r>
      <w:r>
        <w:rPr>
          <w:rFonts w:ascii="Times New Roman" w:hAnsi="Times New Roman" w:eastAsia="楷体_GB2312" w:cs="Times New Roman"/>
          <w:color w:val="0000FF"/>
          <w:sz w:val="24"/>
        </w:rPr>
        <w:t>10</w:t>
      </w:r>
      <w:r>
        <w:rPr>
          <w:rFonts w:ascii="楷体_GB2312" w:hAnsi="Times New Roman" w:eastAsia="楷体_GB2312" w:cs="宋体"/>
          <w:color w:val="0000FF"/>
          <w:sz w:val="24"/>
        </w:rPr>
        <w:t>条”</w:t>
      </w:r>
      <w:r>
        <w:rPr>
          <w:rFonts w:ascii="宋体" w:hAnsi="宋体" w:eastAsia="宋体" w:cs="Times New Roman"/>
          <w:sz w:val="24"/>
        </w:rPr>
        <w:t>。</w:t>
      </w:r>
    </w:p>
    <w:p w14:paraId="2E7F7F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t>3．文中涉及台湾地区的表述，应遵守2016年3月中央台办、外交部、中央宣办修订的《关于正确使用涉台宣传用语的意见》，根据《新华社新闻信息报道中的禁用词和慎用词》处理。例如，不宜将台湾地区与外国并列，如确有必要，应称为“我国台湾地区”；对台湾的“立法院”、“最高法院”等“部”级以上机构，应变通处理；对于台湾机构和单位名称带有“中央”称谓的，一律加引号，带有“国立”称谓的，将“国立”二字删除；等等。</w:t>
      </w:r>
    </w:p>
    <w:p w14:paraId="6C520376"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729066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B5BC2"/>
    <w:multiLevelType w:val="multilevel"/>
    <w:tmpl w:val="01DB5BC2"/>
    <w:lvl w:ilvl="0" w:tentative="0">
      <w:start w:val="8"/>
      <w:numFmt w:val="decimal"/>
      <w:suff w:val="nothing"/>
      <w:lvlText w:val="%1．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796D"/>
    <w:rsid w:val="35C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Times New Roman" w:hAnsi="Times New Roman" w:eastAsia="方正小标宋简体" w:cs="Times New Roman"/>
      <w:b/>
      <w:bCs/>
      <w:kern w:val="44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2026-07-15T02:45:00Z</dcterms:created>
  <dc:creator>Carolin 曹琳</dc:creator>
  <cp:lastModifiedBy>Carolin 曹琳</cp:lastModifiedBy>
  <dcterms:modified xsi:type="dcterms:W3CDTF">2026-07-15T02:45:48Z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7A4BB222C0934149959A20DB144032C8_11</vt:lpwstr>
  </property>
  <property fmtid="{D5CDD505-2E9C-101B-9397-08002B2CF9AE}" pid="4" name="KSOTemplateDocerSaveRecord">
    <vt:lpwstr>eyJoZGlkIjoiM2U4MGFjZGU4MzQ3NzZiZGRiYTQ2ODQzOTY1YzZkMzIiLCJ1c2VySWQiOiIzMzc4NzE3NjEifQ==</vt:lpwstr>
  </property>
</Properties>
</file>